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3" w:rsidRPr="00A762F3" w:rsidRDefault="00A762F3" w:rsidP="00A762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2F3">
        <w:rPr>
          <w:rFonts w:ascii="Arial" w:hAnsi="Arial" w:cs="Arial"/>
          <w:b/>
          <w:sz w:val="24"/>
          <w:szCs w:val="24"/>
        </w:rPr>
        <w:t xml:space="preserve">Effect of Aging on Coronal </w:t>
      </w:r>
      <w:proofErr w:type="spellStart"/>
      <w:r w:rsidRPr="00A762F3">
        <w:rPr>
          <w:rFonts w:ascii="Arial" w:hAnsi="Arial" w:cs="Arial"/>
          <w:b/>
          <w:sz w:val="24"/>
          <w:szCs w:val="24"/>
        </w:rPr>
        <w:t>Microleakage</w:t>
      </w:r>
      <w:proofErr w:type="spellEnd"/>
      <w:r w:rsidRPr="00A762F3">
        <w:rPr>
          <w:rFonts w:ascii="Arial" w:hAnsi="Arial" w:cs="Arial"/>
          <w:b/>
          <w:sz w:val="24"/>
          <w:szCs w:val="24"/>
        </w:rPr>
        <w:t xml:space="preserve"> in Access Cavities through Metal Ceramic Crowns Restored with Resin Composites</w:t>
      </w:r>
    </w:p>
    <w:p w:rsidR="002105B7" w:rsidRDefault="002105B7" w:rsidP="001E321C">
      <w:pPr>
        <w:jc w:val="both"/>
        <w:rPr>
          <w:rFonts w:ascii="Arial" w:hAnsi="Arial" w:cs="Arial"/>
          <w:sz w:val="24"/>
          <w:szCs w:val="24"/>
        </w:rPr>
      </w:pPr>
    </w:p>
    <w:p w:rsidR="00C33830" w:rsidRDefault="00C619A7" w:rsidP="001E32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Type:</w:t>
      </w:r>
      <w:r w:rsidR="0051616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762F3" w:rsidRDefault="00A762F3" w:rsidP="001E32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</w:t>
      </w:r>
    </w:p>
    <w:p w:rsidR="00257287" w:rsidRDefault="00C619A7" w:rsidP="00257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Abstract:</w:t>
      </w:r>
      <w:r w:rsidR="00257287">
        <w:rPr>
          <w:rFonts w:ascii="Arial" w:hAnsi="Arial" w:cs="Arial"/>
          <w:sz w:val="24"/>
          <w:szCs w:val="24"/>
        </w:rPr>
        <w:t xml:space="preserve"> </w:t>
      </w:r>
    </w:p>
    <w:p w:rsidR="00A762F3" w:rsidRDefault="00A762F3" w:rsidP="00257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2F3" w:rsidRDefault="00A762F3" w:rsidP="00A76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Purpose: The purpose of this in vitro study was to determine if packable resin composite with/without </w:t>
      </w:r>
      <w:proofErr w:type="spellStart"/>
      <w:r>
        <w:rPr>
          <w:rFonts w:ascii="Arial" w:hAnsi="Arial" w:cs="Arial"/>
          <w:sz w:val="24"/>
          <w:szCs w:val="24"/>
        </w:rPr>
        <w:t>flowable</w:t>
      </w:r>
      <w:proofErr w:type="spellEnd"/>
      <w:r>
        <w:rPr>
          <w:rFonts w:ascii="Arial" w:hAnsi="Arial" w:cs="Arial"/>
          <w:sz w:val="24"/>
          <w:szCs w:val="24"/>
        </w:rPr>
        <w:t xml:space="preserve"> resin composite has the ability to prevent coronal leakage in restored endodontic access openings following aging. Materials and Methods: Eighty simulated standardized access cavities of metal-ceramic crowns were fabricated and fixed on </w:t>
      </w:r>
      <w:proofErr w:type="spellStart"/>
      <w:r>
        <w:rPr>
          <w:rFonts w:ascii="Arial" w:hAnsi="Arial" w:cs="Arial"/>
          <w:sz w:val="24"/>
          <w:szCs w:val="24"/>
        </w:rPr>
        <w:t>Vitrebond</w:t>
      </w:r>
      <w:proofErr w:type="spellEnd"/>
      <w:r>
        <w:rPr>
          <w:rFonts w:ascii="Arial" w:hAnsi="Arial" w:cs="Arial"/>
          <w:sz w:val="24"/>
          <w:szCs w:val="24"/>
        </w:rPr>
        <w:t xml:space="preserve"> cavities filled with an epoxy resin. The specimens were randomly divided into two main groups: (1) Group A-Access cavities filled with only packable composite (</w:t>
      </w:r>
      <w:proofErr w:type="spellStart"/>
      <w:r>
        <w:rPr>
          <w:rFonts w:ascii="Arial" w:hAnsi="Arial" w:cs="Arial"/>
          <w:sz w:val="24"/>
          <w:szCs w:val="24"/>
        </w:rPr>
        <w:t>Filtek</w:t>
      </w:r>
      <w:proofErr w:type="spellEnd"/>
      <w:r>
        <w:rPr>
          <w:rFonts w:ascii="Arial" w:hAnsi="Arial" w:cs="Arial"/>
          <w:sz w:val="24"/>
          <w:szCs w:val="24"/>
        </w:rPr>
        <w:t xml:space="preserve"> P60); (2) Group B-Access cavities filled with </w:t>
      </w:r>
      <w:proofErr w:type="spellStart"/>
      <w:r>
        <w:rPr>
          <w:rFonts w:ascii="Arial" w:hAnsi="Arial" w:cs="Arial"/>
          <w:sz w:val="24"/>
          <w:szCs w:val="24"/>
        </w:rPr>
        <w:t>Filtek</w:t>
      </w:r>
      <w:proofErr w:type="spellEnd"/>
      <w:r>
        <w:rPr>
          <w:rFonts w:ascii="Arial" w:hAnsi="Arial" w:cs="Arial"/>
          <w:sz w:val="24"/>
          <w:szCs w:val="24"/>
        </w:rPr>
        <w:t xml:space="preserve"> P60 and a </w:t>
      </w:r>
      <w:proofErr w:type="spellStart"/>
      <w:r>
        <w:rPr>
          <w:rFonts w:ascii="Arial" w:hAnsi="Arial" w:cs="Arial"/>
          <w:sz w:val="24"/>
          <w:szCs w:val="24"/>
        </w:rPr>
        <w:t>flowable</w:t>
      </w:r>
      <w:proofErr w:type="spellEnd"/>
      <w:r>
        <w:rPr>
          <w:rFonts w:ascii="Arial" w:hAnsi="Arial" w:cs="Arial"/>
          <w:sz w:val="24"/>
          <w:szCs w:val="24"/>
        </w:rPr>
        <w:t xml:space="preserve"> composite (</w:t>
      </w:r>
      <w:proofErr w:type="spellStart"/>
      <w:r>
        <w:rPr>
          <w:rFonts w:ascii="Arial" w:hAnsi="Arial" w:cs="Arial"/>
          <w:sz w:val="24"/>
          <w:szCs w:val="24"/>
        </w:rPr>
        <w:t>Filtek</w:t>
      </w:r>
      <w:proofErr w:type="spellEnd"/>
      <w:r>
        <w:rPr>
          <w:rFonts w:ascii="Arial" w:hAnsi="Arial" w:cs="Arial"/>
          <w:sz w:val="24"/>
          <w:szCs w:val="24"/>
        </w:rPr>
        <w:t xml:space="preserve"> Z350) as liner. Each main group was further subdivided randomly into four subgroups according to water storage and </w:t>
      </w:r>
      <w:proofErr w:type="spellStart"/>
      <w:r>
        <w:rPr>
          <w:rFonts w:ascii="Arial" w:hAnsi="Arial" w:cs="Arial"/>
          <w:sz w:val="24"/>
          <w:szCs w:val="24"/>
        </w:rPr>
        <w:t>thermocycling</w:t>
      </w:r>
      <w:proofErr w:type="spellEnd"/>
      <w:r>
        <w:rPr>
          <w:rFonts w:ascii="Arial" w:hAnsi="Arial" w:cs="Arial"/>
          <w:sz w:val="24"/>
          <w:szCs w:val="24"/>
        </w:rPr>
        <w:t xml:space="preserve"> periods. All specimens were immersed in blue ink solution for 24 hours and then sectioned into quadrants. The extension of blue ink along the metal-ceramic crown/composite resin interface was measured linearly using image analyzer and then analyzed by three-way ANOVA and independent t-test with a Mann-Whitney test. The level of significance was set at p &lt; 0.05. Results: All tested subgroups demonstrated different levels of </w:t>
      </w:r>
      <w:proofErr w:type="spellStart"/>
      <w:r>
        <w:rPr>
          <w:rFonts w:ascii="Arial" w:hAnsi="Arial" w:cs="Arial"/>
          <w:sz w:val="24"/>
          <w:szCs w:val="24"/>
        </w:rPr>
        <w:t>microleakage</w:t>
      </w:r>
      <w:proofErr w:type="spellEnd"/>
      <w:r>
        <w:rPr>
          <w:rFonts w:ascii="Arial" w:hAnsi="Arial" w:cs="Arial"/>
          <w:sz w:val="24"/>
          <w:szCs w:val="24"/>
        </w:rPr>
        <w:t xml:space="preserve">. There was no significant difference related to restorative technique; however, there was a significant difference related to water storage and </w:t>
      </w:r>
      <w:proofErr w:type="spellStart"/>
      <w:r>
        <w:rPr>
          <w:rFonts w:ascii="Arial" w:hAnsi="Arial" w:cs="Arial"/>
          <w:sz w:val="24"/>
          <w:szCs w:val="24"/>
        </w:rPr>
        <w:t>thermocycling</w:t>
      </w:r>
      <w:proofErr w:type="spellEnd"/>
      <w:r>
        <w:rPr>
          <w:rFonts w:ascii="Arial" w:hAnsi="Arial" w:cs="Arial"/>
          <w:sz w:val="24"/>
          <w:szCs w:val="24"/>
        </w:rPr>
        <w:t xml:space="preserve">. Conclusions: All tested techniques and materials in this study showed </w:t>
      </w:r>
      <w:proofErr w:type="spellStart"/>
      <w:r>
        <w:rPr>
          <w:rFonts w:ascii="Arial" w:hAnsi="Arial" w:cs="Arial"/>
          <w:sz w:val="24"/>
          <w:szCs w:val="24"/>
        </w:rPr>
        <w:t>microleakage</w:t>
      </w:r>
      <w:proofErr w:type="spellEnd"/>
      <w:r>
        <w:rPr>
          <w:rFonts w:ascii="Arial" w:hAnsi="Arial" w:cs="Arial"/>
          <w:sz w:val="24"/>
          <w:szCs w:val="24"/>
        </w:rPr>
        <w:t xml:space="preserve">. Packable composite while a </w:t>
      </w:r>
      <w:proofErr w:type="spellStart"/>
      <w:r>
        <w:rPr>
          <w:rFonts w:ascii="Arial" w:hAnsi="Arial" w:cs="Arial"/>
          <w:sz w:val="24"/>
          <w:szCs w:val="24"/>
        </w:rPr>
        <w:t>flowable</w:t>
      </w:r>
      <w:proofErr w:type="spellEnd"/>
      <w:r>
        <w:rPr>
          <w:rFonts w:ascii="Arial" w:hAnsi="Arial" w:cs="Arial"/>
          <w:sz w:val="24"/>
          <w:szCs w:val="24"/>
        </w:rPr>
        <w:t xml:space="preserve"> liner showed a marginally better result than packable composite alone. Excessive </w:t>
      </w:r>
      <w:proofErr w:type="spellStart"/>
      <w:r>
        <w:rPr>
          <w:rFonts w:ascii="Arial" w:hAnsi="Arial" w:cs="Arial"/>
          <w:sz w:val="24"/>
          <w:szCs w:val="24"/>
        </w:rPr>
        <w:t>thermocycling</w:t>
      </w:r>
      <w:proofErr w:type="spellEnd"/>
      <w:r>
        <w:rPr>
          <w:rFonts w:ascii="Arial" w:hAnsi="Arial" w:cs="Arial"/>
          <w:sz w:val="24"/>
          <w:szCs w:val="24"/>
        </w:rPr>
        <w:t xml:space="preserve"> resulted in significant differences among the test groups.</w:t>
      </w:r>
    </w:p>
    <w:p w:rsidR="00A762F3" w:rsidRDefault="00A762F3" w:rsidP="00257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54A" w:rsidRDefault="0029254A" w:rsidP="00257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8"/>
        <w:tblW w:w="0" w:type="auto"/>
        <w:tblLook w:val="04A0"/>
      </w:tblPr>
      <w:tblGrid>
        <w:gridCol w:w="2088"/>
        <w:gridCol w:w="7488"/>
      </w:tblGrid>
      <w:tr w:rsidR="0029254A" w:rsidTr="0029254A">
        <w:tc>
          <w:tcPr>
            <w:tcW w:w="2088" w:type="dxa"/>
            <w:shd w:val="clear" w:color="auto" w:fill="BFBFBF" w:themeFill="background1" w:themeFillShade="BF"/>
          </w:tcPr>
          <w:p w:rsidR="0029254A" w:rsidRDefault="0029254A" w:rsidP="00292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</w:t>
            </w:r>
          </w:p>
        </w:tc>
        <w:tc>
          <w:tcPr>
            <w:tcW w:w="7488" w:type="dxa"/>
            <w:shd w:val="clear" w:color="auto" w:fill="BFBFBF" w:themeFill="background1" w:themeFillShade="BF"/>
          </w:tcPr>
          <w:p w:rsidR="00A762F3" w:rsidRPr="00A762F3" w:rsidRDefault="00A762F3" w:rsidP="00A762F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62F3">
              <w:rPr>
                <w:rFonts w:ascii="Arial" w:hAnsi="Arial" w:cs="Arial"/>
                <w:sz w:val="24"/>
                <w:szCs w:val="24"/>
              </w:rPr>
              <w:t>Al-</w:t>
            </w:r>
            <w:proofErr w:type="spellStart"/>
            <w:r w:rsidRPr="00A762F3">
              <w:rPr>
                <w:rFonts w:ascii="Arial" w:hAnsi="Arial" w:cs="Arial"/>
                <w:sz w:val="24"/>
                <w:szCs w:val="24"/>
              </w:rPr>
              <w:t>Maqtari</w:t>
            </w:r>
            <w:proofErr w:type="spellEnd"/>
            <w:r w:rsidRPr="00A762F3">
              <w:rPr>
                <w:rFonts w:ascii="Arial" w:hAnsi="Arial" w:cs="Arial"/>
                <w:sz w:val="24"/>
                <w:szCs w:val="24"/>
              </w:rPr>
              <w:t>, A. A. A.</w:t>
            </w:r>
          </w:p>
          <w:p w:rsidR="0029254A" w:rsidRPr="00A762F3" w:rsidRDefault="00A762F3" w:rsidP="00A762F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ms-MY"/>
              </w:rPr>
            </w:pPr>
            <w:proofErr w:type="spellStart"/>
            <w:r w:rsidRPr="00A762F3">
              <w:rPr>
                <w:rFonts w:ascii="Arial" w:hAnsi="Arial" w:cs="Arial"/>
                <w:sz w:val="24"/>
                <w:szCs w:val="24"/>
              </w:rPr>
              <w:t>Lui</w:t>
            </w:r>
            <w:proofErr w:type="spellEnd"/>
            <w:r w:rsidRPr="00A762F3">
              <w:rPr>
                <w:rFonts w:ascii="Arial" w:hAnsi="Arial" w:cs="Arial"/>
                <w:sz w:val="24"/>
                <w:szCs w:val="24"/>
              </w:rPr>
              <w:t>, J. L</w:t>
            </w:r>
          </w:p>
        </w:tc>
      </w:tr>
      <w:tr w:rsidR="0029254A" w:rsidTr="0029254A">
        <w:tc>
          <w:tcPr>
            <w:tcW w:w="2088" w:type="dxa"/>
          </w:tcPr>
          <w:p w:rsidR="0029254A" w:rsidRDefault="0029254A" w:rsidP="00292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  <w:tc>
          <w:tcPr>
            <w:tcW w:w="7488" w:type="dxa"/>
          </w:tcPr>
          <w:p w:rsidR="0029254A" w:rsidRPr="00A762F3" w:rsidRDefault="00A762F3" w:rsidP="00A762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Journal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Prosthodontics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-Implant Esthetic and Reconstructive Dentistry</w:t>
            </w:r>
          </w:p>
        </w:tc>
      </w:tr>
      <w:tr w:rsidR="0029254A" w:rsidTr="0029254A">
        <w:tc>
          <w:tcPr>
            <w:tcW w:w="2088" w:type="dxa"/>
            <w:shd w:val="clear" w:color="auto" w:fill="BFBFBF" w:themeFill="background1" w:themeFillShade="BF"/>
          </w:tcPr>
          <w:p w:rsidR="0029254A" w:rsidRDefault="0029254A" w:rsidP="00292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ISSN</w:t>
            </w:r>
          </w:p>
        </w:tc>
        <w:tc>
          <w:tcPr>
            <w:tcW w:w="7488" w:type="dxa"/>
            <w:shd w:val="clear" w:color="auto" w:fill="BFBFBF" w:themeFill="background1" w:themeFillShade="BF"/>
          </w:tcPr>
          <w:p w:rsidR="0029254A" w:rsidRPr="00A762F3" w:rsidRDefault="00A762F3" w:rsidP="00A762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1059-941X</w:t>
            </w:r>
          </w:p>
        </w:tc>
      </w:tr>
      <w:tr w:rsidR="0029254A" w:rsidTr="0029254A">
        <w:tc>
          <w:tcPr>
            <w:tcW w:w="2088" w:type="dxa"/>
          </w:tcPr>
          <w:p w:rsidR="0029254A" w:rsidRDefault="0029254A" w:rsidP="00292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DOI</w:t>
            </w:r>
          </w:p>
        </w:tc>
        <w:tc>
          <w:tcPr>
            <w:tcW w:w="7488" w:type="dxa"/>
          </w:tcPr>
          <w:p w:rsidR="0029254A" w:rsidRPr="00A762F3" w:rsidRDefault="00A762F3" w:rsidP="00A762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10.1111/j.1532-849X.2010.00593.x</w:t>
            </w:r>
          </w:p>
        </w:tc>
      </w:tr>
      <w:tr w:rsidR="0029254A" w:rsidTr="0029254A">
        <w:tc>
          <w:tcPr>
            <w:tcW w:w="2088" w:type="dxa"/>
            <w:shd w:val="clear" w:color="auto" w:fill="BFBFBF" w:themeFill="background1" w:themeFillShade="BF"/>
          </w:tcPr>
          <w:p w:rsidR="0029254A" w:rsidRDefault="0029254A" w:rsidP="00292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 (Issue)</w:t>
            </w:r>
          </w:p>
        </w:tc>
        <w:tc>
          <w:tcPr>
            <w:tcW w:w="7488" w:type="dxa"/>
            <w:shd w:val="clear" w:color="auto" w:fill="BFBFBF" w:themeFill="background1" w:themeFillShade="BF"/>
          </w:tcPr>
          <w:p w:rsidR="0029254A" w:rsidRPr="00A762F3" w:rsidRDefault="00A762F3" w:rsidP="00A762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19(5)</w:t>
            </w:r>
          </w:p>
        </w:tc>
      </w:tr>
      <w:tr w:rsidR="0029254A" w:rsidTr="0029254A">
        <w:tc>
          <w:tcPr>
            <w:tcW w:w="2088" w:type="dxa"/>
          </w:tcPr>
          <w:p w:rsidR="0029254A" w:rsidRDefault="0029254A" w:rsidP="00292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</w:t>
            </w:r>
          </w:p>
        </w:tc>
        <w:tc>
          <w:tcPr>
            <w:tcW w:w="7488" w:type="dxa"/>
          </w:tcPr>
          <w:p w:rsidR="0029254A" w:rsidRPr="00A762F3" w:rsidRDefault="00A762F3" w:rsidP="00A762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347-356</w:t>
            </w:r>
          </w:p>
        </w:tc>
      </w:tr>
      <w:tr w:rsidR="0029254A" w:rsidTr="0029254A">
        <w:tc>
          <w:tcPr>
            <w:tcW w:w="2088" w:type="dxa"/>
            <w:shd w:val="clear" w:color="auto" w:fill="BFBFBF" w:themeFill="background1" w:themeFillShade="BF"/>
          </w:tcPr>
          <w:p w:rsidR="0029254A" w:rsidRDefault="0029254A" w:rsidP="00292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7488" w:type="dxa"/>
            <w:shd w:val="clear" w:color="auto" w:fill="BFBFBF" w:themeFill="background1" w:themeFillShade="BF"/>
          </w:tcPr>
          <w:p w:rsidR="0029254A" w:rsidRPr="00A762F3" w:rsidRDefault="00A762F3" w:rsidP="00A762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</w:tbl>
    <w:p w:rsidR="00747B4C" w:rsidRDefault="00747B4C" w:rsidP="00257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A762F3" w:rsidRDefault="00A762F3" w:rsidP="001E321C">
      <w:pPr>
        <w:jc w:val="both"/>
        <w:rPr>
          <w:rFonts w:ascii="Arial" w:hAnsi="Arial" w:cs="Arial"/>
          <w:sz w:val="24"/>
          <w:szCs w:val="24"/>
        </w:rPr>
      </w:pPr>
    </w:p>
    <w:p w:rsidR="00A762F3" w:rsidRDefault="00A762F3" w:rsidP="001E321C">
      <w:pPr>
        <w:jc w:val="both"/>
        <w:rPr>
          <w:rFonts w:ascii="Arial" w:hAnsi="Arial" w:cs="Arial"/>
          <w:sz w:val="24"/>
          <w:szCs w:val="24"/>
        </w:rPr>
      </w:pPr>
    </w:p>
    <w:p w:rsidR="00A762F3" w:rsidRDefault="00A762F3" w:rsidP="001E321C">
      <w:pPr>
        <w:jc w:val="both"/>
        <w:rPr>
          <w:rFonts w:ascii="Arial" w:hAnsi="Arial" w:cs="Arial"/>
          <w:sz w:val="24"/>
          <w:szCs w:val="24"/>
        </w:rPr>
      </w:pPr>
    </w:p>
    <w:p w:rsidR="00C619A7" w:rsidRDefault="00C619A7" w:rsidP="001E32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Keyword:</w:t>
      </w:r>
    </w:p>
    <w:p w:rsidR="00A762F3" w:rsidRDefault="00A762F3" w:rsidP="00A76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Metal-ceramic </w:t>
      </w:r>
      <w:proofErr w:type="spellStart"/>
      <w:r>
        <w:rPr>
          <w:rFonts w:ascii="Arial" w:hAnsi="Arial" w:cs="Arial"/>
          <w:sz w:val="24"/>
          <w:szCs w:val="24"/>
        </w:rPr>
        <w:t>crowns</w:t>
      </w:r>
      <w:proofErr w:type="gramStart"/>
      <w:r>
        <w:rPr>
          <w:rFonts w:ascii="Arial" w:hAnsi="Arial" w:cs="Arial"/>
          <w:sz w:val="24"/>
          <w:szCs w:val="24"/>
        </w:rPr>
        <w:t>,resin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composites,aging,coronal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microleakage,endodontically</w:t>
      </w:r>
      <w:proofErr w:type="spellEnd"/>
      <w:r>
        <w:rPr>
          <w:rFonts w:ascii="Arial" w:hAnsi="Arial" w:cs="Arial"/>
          <w:sz w:val="24"/>
          <w:szCs w:val="24"/>
        </w:rPr>
        <w:t xml:space="preserve"> treated </w:t>
      </w:r>
      <w:proofErr w:type="spellStart"/>
      <w:r>
        <w:rPr>
          <w:rFonts w:ascii="Arial" w:hAnsi="Arial" w:cs="Arial"/>
          <w:sz w:val="24"/>
          <w:szCs w:val="24"/>
        </w:rPr>
        <w:t>teeth,modern</w:t>
      </w:r>
      <w:proofErr w:type="spellEnd"/>
      <w:r>
        <w:rPr>
          <w:rFonts w:ascii="Arial" w:hAnsi="Arial" w:cs="Arial"/>
          <w:sz w:val="24"/>
          <w:szCs w:val="24"/>
        </w:rPr>
        <w:t xml:space="preserve"> restorative </w:t>
      </w:r>
      <w:proofErr w:type="spellStart"/>
      <w:r>
        <w:rPr>
          <w:rFonts w:ascii="Arial" w:hAnsi="Arial" w:cs="Arial"/>
          <w:sz w:val="24"/>
          <w:szCs w:val="24"/>
        </w:rPr>
        <w:t>procedures,in-vitro,investigations,reliably</w:t>
      </w:r>
      <w:proofErr w:type="spellEnd"/>
      <w:r>
        <w:rPr>
          <w:rFonts w:ascii="Arial" w:hAnsi="Arial" w:cs="Arial"/>
          <w:sz w:val="24"/>
          <w:szCs w:val="24"/>
        </w:rPr>
        <w:t xml:space="preserve"> seal cavities</w:t>
      </w:r>
    </w:p>
    <w:p w:rsidR="00A762F3" w:rsidRDefault="00A762F3" w:rsidP="00A76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class-ii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cavities,flowable,composite,filling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materials,existing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crowns,micro</w:t>
      </w:r>
      <w:proofErr w:type="spellEnd"/>
      <w:r>
        <w:rPr>
          <w:rFonts w:ascii="Arial" w:hAnsi="Arial" w:cs="Arial"/>
          <w:sz w:val="24"/>
          <w:szCs w:val="24"/>
        </w:rPr>
        <w:t>-leakage</w:t>
      </w:r>
    </w:p>
    <w:p w:rsidR="00A762F3" w:rsidRDefault="00A762F3" w:rsidP="00A76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failure</w:t>
      </w:r>
      <w:proofErr w:type="gramEnd"/>
    </w:p>
    <w:p w:rsidR="00A762F3" w:rsidRDefault="00A762F3" w:rsidP="00292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19A7" w:rsidRDefault="00C619A7" w:rsidP="00292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Cite As:</w:t>
      </w:r>
    </w:p>
    <w:p w:rsidR="00A762F3" w:rsidRDefault="00A762F3" w:rsidP="00A762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AL-MAQTARI, A. A. A. &amp; LUI, J. L. 2010.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762F3">
        <w:rPr>
          <w:rFonts w:ascii="Arial" w:hAnsi="Arial" w:cs="Arial"/>
          <w:b/>
          <w:sz w:val="24"/>
          <w:szCs w:val="24"/>
        </w:rPr>
        <w:t xml:space="preserve">Effect of Aging on Coronal </w:t>
      </w:r>
      <w:proofErr w:type="spellStart"/>
      <w:r w:rsidRPr="00A762F3">
        <w:rPr>
          <w:rFonts w:ascii="Arial" w:hAnsi="Arial" w:cs="Arial"/>
          <w:b/>
          <w:sz w:val="24"/>
          <w:szCs w:val="24"/>
        </w:rPr>
        <w:t>Microleakage</w:t>
      </w:r>
      <w:proofErr w:type="spellEnd"/>
      <w:r w:rsidRPr="00A762F3">
        <w:rPr>
          <w:rFonts w:ascii="Arial" w:hAnsi="Arial" w:cs="Arial"/>
          <w:b/>
          <w:sz w:val="24"/>
          <w:szCs w:val="24"/>
        </w:rPr>
        <w:t xml:space="preserve"> in Access Cavities through Metal Ceramic Crowns Restored with Resin Composites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Journal of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Prosthodontics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-Implant Esthetic and Reconstructive Dentistry,</w:t>
      </w:r>
      <w:r>
        <w:rPr>
          <w:rFonts w:ascii="Arial" w:hAnsi="Arial" w:cs="Arial"/>
          <w:sz w:val="24"/>
          <w:szCs w:val="24"/>
        </w:rPr>
        <w:t xml:space="preserve"> 19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347-356.</w:t>
      </w:r>
    </w:p>
    <w:p w:rsidR="00A762F3" w:rsidRDefault="00A762F3" w:rsidP="00292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05B7" w:rsidRDefault="002105B7" w:rsidP="00292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19A7" w:rsidRDefault="00C619A7" w:rsidP="001E32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URL:</w:t>
      </w:r>
    </w:p>
    <w:p w:rsidR="00B44D78" w:rsidRDefault="00141ACA" w:rsidP="00374E1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hyperlink r:id="rId7" w:history="1">
        <w:r w:rsidR="00374E13" w:rsidRPr="00374E13">
          <w:rPr>
            <w:rStyle w:val="Hyperlink"/>
            <w:rFonts w:ascii="Arial" w:hAnsi="Arial" w:cs="Arial"/>
            <w:sz w:val="24"/>
            <w:szCs w:val="24"/>
          </w:rPr>
          <w:t>http://apps.webofknowledge.com</w:t>
        </w:r>
      </w:hyperlink>
      <w:r w:rsidR="00374E13" w:rsidRPr="00374E13">
        <w:rPr>
          <w:rFonts w:ascii="Arial" w:hAnsi="Arial" w:cs="Arial"/>
          <w:sz w:val="24"/>
          <w:szCs w:val="24"/>
        </w:rPr>
        <w:t xml:space="preserve"> search via Accession No &gt;&gt;</w:t>
      </w:r>
      <w:r w:rsidR="00A762F3">
        <w:rPr>
          <w:rFonts w:ascii="Arial" w:hAnsi="Arial" w:cs="Arial"/>
          <w:sz w:val="24"/>
          <w:szCs w:val="24"/>
        </w:rPr>
        <w:t>000290117900003</w:t>
      </w:r>
    </w:p>
    <w:p w:rsidR="00C56153" w:rsidRDefault="00C56153" w:rsidP="00374E1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yperlink"/>
          </w:rPr>
          <w:t>http://www.ncbi.nlm.nih.gov/pubmed/20456026</w:t>
        </w:r>
      </w:hyperlink>
    </w:p>
    <w:p w:rsidR="00A762F3" w:rsidRDefault="00A762F3" w:rsidP="00A762F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74E13" w:rsidRPr="00374E13" w:rsidRDefault="00374E13">
      <w:pPr>
        <w:jc w:val="both"/>
        <w:rPr>
          <w:rFonts w:ascii="Arial" w:hAnsi="Arial" w:cs="Arial"/>
          <w:sz w:val="24"/>
          <w:szCs w:val="24"/>
        </w:rPr>
      </w:pPr>
    </w:p>
    <w:sectPr w:rsidR="00374E13" w:rsidRPr="00374E13" w:rsidSect="002738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54" w:rsidRDefault="00EB3654" w:rsidP="00747B4C">
      <w:pPr>
        <w:spacing w:after="0" w:line="240" w:lineRule="auto"/>
      </w:pPr>
      <w:r>
        <w:separator/>
      </w:r>
    </w:p>
  </w:endnote>
  <w:endnote w:type="continuationSeparator" w:id="0">
    <w:p w:rsidR="00EB3654" w:rsidRDefault="00EB3654" w:rsidP="0074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54" w:rsidRDefault="00EB3654" w:rsidP="00747B4C">
      <w:pPr>
        <w:spacing w:after="0" w:line="240" w:lineRule="auto"/>
      </w:pPr>
      <w:r>
        <w:separator/>
      </w:r>
    </w:p>
  </w:footnote>
  <w:footnote w:type="continuationSeparator" w:id="0">
    <w:p w:rsidR="00EB3654" w:rsidRDefault="00EB3654" w:rsidP="0074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BAF"/>
    <w:multiLevelType w:val="hybridMultilevel"/>
    <w:tmpl w:val="F4064CC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0367"/>
    <w:multiLevelType w:val="hybridMultilevel"/>
    <w:tmpl w:val="48B6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4C4E"/>
    <w:multiLevelType w:val="hybridMultilevel"/>
    <w:tmpl w:val="02FE30B8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21EA"/>
    <w:multiLevelType w:val="hybridMultilevel"/>
    <w:tmpl w:val="6932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21A8"/>
    <w:multiLevelType w:val="hybridMultilevel"/>
    <w:tmpl w:val="CEBECF6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94666"/>
    <w:multiLevelType w:val="hybridMultilevel"/>
    <w:tmpl w:val="E9EA771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71750"/>
    <w:multiLevelType w:val="hybridMultilevel"/>
    <w:tmpl w:val="1F7C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82CB3"/>
    <w:multiLevelType w:val="hybridMultilevel"/>
    <w:tmpl w:val="19F8C03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05FC4"/>
    <w:multiLevelType w:val="hybridMultilevel"/>
    <w:tmpl w:val="685ADE28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14DC4"/>
    <w:multiLevelType w:val="hybridMultilevel"/>
    <w:tmpl w:val="CEFE8A2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B5699"/>
    <w:multiLevelType w:val="hybridMultilevel"/>
    <w:tmpl w:val="C7B882A6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7105D"/>
    <w:multiLevelType w:val="hybridMultilevel"/>
    <w:tmpl w:val="CE14625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81E37"/>
    <w:multiLevelType w:val="hybridMultilevel"/>
    <w:tmpl w:val="DB28495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D43A8"/>
    <w:multiLevelType w:val="hybridMultilevel"/>
    <w:tmpl w:val="6EA65596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F66BB"/>
    <w:multiLevelType w:val="hybridMultilevel"/>
    <w:tmpl w:val="CBD8B53C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F33FB2"/>
    <w:multiLevelType w:val="hybridMultilevel"/>
    <w:tmpl w:val="786C6CB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9A7"/>
    <w:rsid w:val="000E15C1"/>
    <w:rsid w:val="00141ACA"/>
    <w:rsid w:val="001C2C66"/>
    <w:rsid w:val="001C517A"/>
    <w:rsid w:val="001E321C"/>
    <w:rsid w:val="001E6E90"/>
    <w:rsid w:val="0020395F"/>
    <w:rsid w:val="002105B7"/>
    <w:rsid w:val="00257287"/>
    <w:rsid w:val="0029254A"/>
    <w:rsid w:val="002A31EE"/>
    <w:rsid w:val="00374E13"/>
    <w:rsid w:val="0040226A"/>
    <w:rsid w:val="004935C4"/>
    <w:rsid w:val="004C447C"/>
    <w:rsid w:val="0051616C"/>
    <w:rsid w:val="00557E00"/>
    <w:rsid w:val="005B3E8B"/>
    <w:rsid w:val="005E5909"/>
    <w:rsid w:val="006B0E20"/>
    <w:rsid w:val="00747B4C"/>
    <w:rsid w:val="008020F4"/>
    <w:rsid w:val="00806DB7"/>
    <w:rsid w:val="008E2A0E"/>
    <w:rsid w:val="00A762F3"/>
    <w:rsid w:val="00B44D78"/>
    <w:rsid w:val="00B4634D"/>
    <w:rsid w:val="00B91F0F"/>
    <w:rsid w:val="00C33830"/>
    <w:rsid w:val="00C56153"/>
    <w:rsid w:val="00C619A7"/>
    <w:rsid w:val="00C660C5"/>
    <w:rsid w:val="00CA71DA"/>
    <w:rsid w:val="00E533AF"/>
    <w:rsid w:val="00E94444"/>
    <w:rsid w:val="00EB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A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61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4C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4E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A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61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4C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4E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0456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AHMAD AZWAN BIN AZMAN</Manager>
  <Company>University of Malaya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2012-11-05T06:27:00Z</cp:lastPrinted>
  <dcterms:created xsi:type="dcterms:W3CDTF">2012-11-05T06:27:00Z</dcterms:created>
  <dcterms:modified xsi:type="dcterms:W3CDTF">2012-11-05T06:30:00Z</dcterms:modified>
  <cp:category>Dentistry</cp:category>
</cp:coreProperties>
</file>